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5185"/>
        <w:gridCol w:w="4170"/>
      </w:tblGrid>
      <w:tr w:rsidR="00E63D1A" w:rsidRPr="00E41DEC" w:rsidTr="00F74145">
        <w:tc>
          <w:tcPr>
            <w:tcW w:w="5325" w:type="dxa"/>
            <w:shd w:val="clear" w:color="auto" w:fill="auto"/>
          </w:tcPr>
          <w:p w:rsidR="00E63D1A" w:rsidRPr="00E41DEC" w:rsidRDefault="00E63D1A" w:rsidP="00F74145">
            <w:pPr>
              <w:rPr>
                <w:noProof w:val="0"/>
                <w:sz w:val="26"/>
                <w:szCs w:val="26"/>
                <w:lang w:val="uk-UA"/>
              </w:rPr>
            </w:pPr>
            <w:r w:rsidRPr="00E41DEC">
              <w:rPr>
                <w:noProof w:val="0"/>
                <w:sz w:val="26"/>
                <w:szCs w:val="26"/>
                <w:lang w:val="uk-UA"/>
              </w:rPr>
              <w:br w:type="page"/>
            </w:r>
            <w:r w:rsidRPr="00E41DEC">
              <w:rPr>
                <w:noProof w:val="0"/>
                <w:sz w:val="26"/>
                <w:szCs w:val="26"/>
                <w:lang w:val="uk-UA"/>
              </w:rPr>
              <w:br w:type="page"/>
            </w:r>
            <w:r w:rsidRPr="00E41DEC">
              <w:rPr>
                <w:noProof w:val="0"/>
                <w:sz w:val="26"/>
                <w:szCs w:val="26"/>
                <w:lang w:val="uk-UA"/>
              </w:rPr>
              <w:br w:type="page"/>
            </w:r>
            <w:r w:rsidRPr="00E41DEC">
              <w:rPr>
                <w:noProof w:val="0"/>
                <w:sz w:val="26"/>
                <w:szCs w:val="26"/>
                <w:lang w:val="uk-UA"/>
              </w:rPr>
              <w:br w:type="page"/>
            </w:r>
          </w:p>
        </w:tc>
        <w:tc>
          <w:tcPr>
            <w:tcW w:w="4246" w:type="dxa"/>
            <w:shd w:val="clear" w:color="auto" w:fill="auto"/>
          </w:tcPr>
          <w:p w:rsidR="00E63D1A" w:rsidRPr="00E41DEC" w:rsidRDefault="00E63D1A" w:rsidP="00F74145">
            <w:pPr>
              <w:jc w:val="center"/>
              <w:rPr>
                <w:noProof w:val="0"/>
                <w:sz w:val="26"/>
                <w:szCs w:val="26"/>
                <w:lang w:val="uk-UA"/>
              </w:rPr>
            </w:pPr>
            <w:r w:rsidRPr="00E41DEC">
              <w:rPr>
                <w:noProof w:val="0"/>
                <w:sz w:val="26"/>
                <w:szCs w:val="26"/>
                <w:lang w:val="uk-UA"/>
              </w:rPr>
              <w:t>Додаток 2</w:t>
            </w:r>
          </w:p>
          <w:p w:rsidR="00E63D1A" w:rsidRPr="00E41DEC" w:rsidRDefault="00E63D1A" w:rsidP="00F74145">
            <w:pPr>
              <w:jc w:val="center"/>
              <w:rPr>
                <w:noProof w:val="0"/>
                <w:sz w:val="26"/>
                <w:szCs w:val="26"/>
                <w:lang w:val="uk-UA"/>
              </w:rPr>
            </w:pPr>
            <w:r w:rsidRPr="00E41DEC">
              <w:rPr>
                <w:noProof w:val="0"/>
                <w:sz w:val="26"/>
                <w:szCs w:val="26"/>
                <w:lang w:val="uk-UA"/>
              </w:rPr>
              <w:t>до Технічного регламенту</w:t>
            </w:r>
          </w:p>
        </w:tc>
      </w:tr>
    </w:tbl>
    <w:p w:rsidR="00E63D1A" w:rsidRPr="00E41DEC" w:rsidRDefault="00E63D1A" w:rsidP="00E63D1A">
      <w:pPr>
        <w:pStyle w:val="a3"/>
        <w:jc w:val="center"/>
        <w:rPr>
          <w:rFonts w:ascii="Times New Roman" w:hAnsi="Times New Roman" w:cs="Times New Roman"/>
          <w:noProof w:val="0"/>
          <w:sz w:val="26"/>
          <w:szCs w:val="26"/>
          <w:lang w:val="uk-UA"/>
        </w:rPr>
      </w:pPr>
    </w:p>
    <w:p w:rsidR="00E63D1A" w:rsidRPr="00284102" w:rsidRDefault="00E63D1A" w:rsidP="00E63D1A">
      <w:pPr>
        <w:pStyle w:val="a3"/>
        <w:jc w:val="center"/>
        <w:rPr>
          <w:rFonts w:ascii="Times New Roman" w:hAnsi="Times New Roman" w:cs="Times New Roman"/>
          <w:b/>
          <w:noProof w:val="0"/>
          <w:sz w:val="26"/>
          <w:szCs w:val="26"/>
          <w:lang w:val="uk-UA"/>
        </w:rPr>
      </w:pPr>
    </w:p>
    <w:p w:rsidR="00E63D1A" w:rsidRPr="00284102" w:rsidRDefault="00E63D1A" w:rsidP="00E63D1A">
      <w:pPr>
        <w:pStyle w:val="a3"/>
        <w:jc w:val="center"/>
        <w:rPr>
          <w:rFonts w:ascii="Times New Roman" w:hAnsi="Times New Roman" w:cs="Times New Roman"/>
          <w:b/>
          <w:noProof w:val="0"/>
          <w:sz w:val="26"/>
          <w:szCs w:val="26"/>
          <w:lang w:val="uk-UA"/>
        </w:rPr>
      </w:pPr>
      <w:r w:rsidRPr="00284102">
        <w:rPr>
          <w:rFonts w:ascii="Times New Roman" w:hAnsi="Times New Roman" w:cs="Times New Roman"/>
          <w:b/>
          <w:noProof w:val="0"/>
          <w:sz w:val="26"/>
          <w:szCs w:val="26"/>
          <w:lang w:val="uk-UA"/>
        </w:rPr>
        <w:t xml:space="preserve">МЕТОД ВИЗНАЧЕННЯ </w:t>
      </w:r>
      <w:r w:rsidR="00895DC0">
        <w:rPr>
          <w:rFonts w:ascii="Times New Roman" w:hAnsi="Times New Roman" w:cs="Times New Roman"/>
          <w:b/>
          <w:noProof w:val="0"/>
          <w:sz w:val="26"/>
          <w:szCs w:val="26"/>
          <w:lang w:val="uk-UA"/>
        </w:rPr>
        <w:t>СПЕЦІАЛЬНИХ</w:t>
      </w:r>
      <w:r w:rsidRPr="00284102">
        <w:rPr>
          <w:rFonts w:ascii="Times New Roman" w:hAnsi="Times New Roman" w:cs="Times New Roman"/>
          <w:b/>
          <w:noProof w:val="0"/>
          <w:sz w:val="26"/>
          <w:szCs w:val="26"/>
          <w:lang w:val="uk-UA"/>
        </w:rPr>
        <w:t xml:space="preserve"> ВИМОГ ДО ЕКОДИЗАЙНУ</w:t>
      </w:r>
    </w:p>
    <w:p w:rsidR="00E63D1A" w:rsidRPr="00E41DEC" w:rsidRDefault="00E63D1A" w:rsidP="00E63D1A">
      <w:pPr>
        <w:autoSpaceDE w:val="0"/>
        <w:autoSpaceDN w:val="0"/>
        <w:adjustRightInd w:val="0"/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</w:p>
    <w:p w:rsidR="00E63D1A" w:rsidRPr="00E41DEC" w:rsidRDefault="00895DC0" w:rsidP="00E63D1A">
      <w:pPr>
        <w:autoSpaceDE w:val="0"/>
        <w:autoSpaceDN w:val="0"/>
        <w:adjustRightInd w:val="0"/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>
        <w:rPr>
          <w:noProof w:val="0"/>
          <w:sz w:val="26"/>
          <w:szCs w:val="26"/>
          <w:lang w:val="uk-UA"/>
        </w:rPr>
        <w:t>Спеціальні</w:t>
      </w:r>
      <w:r w:rsidR="00E63D1A" w:rsidRPr="00E41DEC">
        <w:rPr>
          <w:noProof w:val="0"/>
          <w:sz w:val="26"/>
          <w:szCs w:val="26"/>
          <w:lang w:val="uk-UA"/>
        </w:rPr>
        <w:t xml:space="preserve"> вимоги до </w:t>
      </w:r>
      <w:proofErr w:type="spellStart"/>
      <w:r w:rsidR="00E63D1A" w:rsidRPr="00E41DEC">
        <w:rPr>
          <w:noProof w:val="0"/>
          <w:sz w:val="26"/>
          <w:szCs w:val="26"/>
          <w:lang w:val="uk-UA"/>
        </w:rPr>
        <w:t>екодизайну</w:t>
      </w:r>
      <w:proofErr w:type="spellEnd"/>
      <w:r w:rsidR="00E63D1A" w:rsidRPr="00E41DEC">
        <w:rPr>
          <w:noProof w:val="0"/>
          <w:sz w:val="26"/>
          <w:szCs w:val="26"/>
          <w:lang w:val="uk-UA"/>
        </w:rPr>
        <w:t xml:space="preserve"> спрямовані на поліпшення </w:t>
      </w:r>
      <w:r w:rsidR="00E63D1A">
        <w:rPr>
          <w:noProof w:val="0"/>
          <w:sz w:val="26"/>
          <w:szCs w:val="26"/>
          <w:lang w:val="uk-UA"/>
        </w:rPr>
        <w:t>певного</w:t>
      </w:r>
      <w:r w:rsidR="00E63D1A" w:rsidRPr="00E41DEC">
        <w:rPr>
          <w:noProof w:val="0"/>
          <w:sz w:val="26"/>
          <w:szCs w:val="26"/>
          <w:lang w:val="uk-UA"/>
        </w:rPr>
        <w:t xml:space="preserve"> екологічного аспекту продукту. Вони можуть мати форму вимог </w:t>
      </w:r>
      <w:r w:rsidR="00E63D1A">
        <w:rPr>
          <w:noProof w:val="0"/>
          <w:sz w:val="26"/>
          <w:szCs w:val="26"/>
          <w:lang w:val="uk-UA"/>
        </w:rPr>
        <w:t>щодо</w:t>
      </w:r>
      <w:r w:rsidR="00E63D1A" w:rsidRPr="00E41DEC">
        <w:rPr>
          <w:noProof w:val="0"/>
          <w:sz w:val="26"/>
          <w:szCs w:val="26"/>
          <w:lang w:val="uk-UA"/>
        </w:rPr>
        <w:t xml:space="preserve"> </w:t>
      </w:r>
      <w:r w:rsidR="00E63D1A">
        <w:rPr>
          <w:noProof w:val="0"/>
          <w:sz w:val="26"/>
          <w:szCs w:val="26"/>
          <w:lang w:val="uk-UA"/>
        </w:rPr>
        <w:t>скорочення</w:t>
      </w:r>
      <w:r w:rsidR="00E63D1A" w:rsidRPr="00E41DEC">
        <w:rPr>
          <w:noProof w:val="0"/>
          <w:sz w:val="26"/>
          <w:szCs w:val="26"/>
          <w:lang w:val="uk-UA"/>
        </w:rPr>
        <w:t xml:space="preserve"> споживання певного</w:t>
      </w:r>
      <w:r w:rsidR="00E63D1A">
        <w:rPr>
          <w:noProof w:val="0"/>
          <w:sz w:val="26"/>
          <w:szCs w:val="26"/>
          <w:lang w:val="uk-UA"/>
        </w:rPr>
        <w:t xml:space="preserve"> ресурсу</w:t>
      </w:r>
      <w:r w:rsidR="00E63D1A" w:rsidRPr="00E41DEC">
        <w:rPr>
          <w:noProof w:val="0"/>
          <w:sz w:val="26"/>
          <w:szCs w:val="26"/>
          <w:lang w:val="uk-UA"/>
        </w:rPr>
        <w:t xml:space="preserve"> на різних стадіях життєвого циклу продукту (наприклад, обмеження витрат води на етапі використання чи кількості певного матеріалу, включеного до продукту, або вимога до мінімальних кількостей переробленого матеріалу).</w:t>
      </w:r>
    </w:p>
    <w:p w:rsidR="00E63D1A" w:rsidRPr="00E41DEC" w:rsidRDefault="00E63D1A" w:rsidP="00E63D1A">
      <w:pPr>
        <w:autoSpaceDE w:val="0"/>
        <w:autoSpaceDN w:val="0"/>
        <w:adjustRightInd w:val="0"/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 xml:space="preserve">При підготовці технічних регламентів з </w:t>
      </w:r>
      <w:proofErr w:type="spellStart"/>
      <w:r w:rsidRPr="00E41DEC">
        <w:rPr>
          <w:noProof w:val="0"/>
          <w:sz w:val="26"/>
          <w:szCs w:val="26"/>
          <w:lang w:val="uk-UA"/>
        </w:rPr>
        <w:t>екодизайну</w:t>
      </w:r>
      <w:proofErr w:type="spellEnd"/>
      <w:r w:rsidRPr="00E41DEC">
        <w:rPr>
          <w:noProof w:val="0"/>
          <w:sz w:val="26"/>
          <w:szCs w:val="26"/>
          <w:lang w:val="uk-UA"/>
        </w:rPr>
        <w:t xml:space="preserve">, якими встановлюються </w:t>
      </w:r>
      <w:r w:rsidR="00895DC0">
        <w:rPr>
          <w:noProof w:val="0"/>
          <w:sz w:val="26"/>
          <w:szCs w:val="26"/>
          <w:lang w:val="uk-UA"/>
        </w:rPr>
        <w:t>спеціальні</w:t>
      </w:r>
      <w:r w:rsidRPr="00E41DEC">
        <w:rPr>
          <w:noProof w:val="0"/>
          <w:sz w:val="26"/>
          <w:szCs w:val="26"/>
          <w:lang w:val="uk-UA"/>
        </w:rPr>
        <w:t xml:space="preserve"> вимоги до </w:t>
      </w:r>
      <w:proofErr w:type="spellStart"/>
      <w:r w:rsidRPr="00E41DEC">
        <w:rPr>
          <w:noProof w:val="0"/>
          <w:sz w:val="26"/>
          <w:szCs w:val="26"/>
          <w:lang w:val="uk-UA"/>
        </w:rPr>
        <w:t>екодизайну</w:t>
      </w:r>
      <w:proofErr w:type="spellEnd"/>
      <w:r w:rsidRPr="00E41DEC">
        <w:rPr>
          <w:noProof w:val="0"/>
          <w:sz w:val="26"/>
          <w:szCs w:val="26"/>
          <w:lang w:val="uk-UA"/>
        </w:rPr>
        <w:t>, необхідно визначити</w:t>
      </w:r>
      <w:r>
        <w:rPr>
          <w:noProof w:val="0"/>
          <w:sz w:val="26"/>
          <w:szCs w:val="26"/>
          <w:lang w:val="uk-UA"/>
        </w:rPr>
        <w:t>,</w:t>
      </w:r>
      <w:r w:rsidRPr="00E41DEC">
        <w:rPr>
          <w:noProof w:val="0"/>
          <w:sz w:val="26"/>
          <w:szCs w:val="26"/>
          <w:lang w:val="uk-UA"/>
        </w:rPr>
        <w:t xml:space="preserve"> в залежності від продукту, на який поширюється дія такого технічного регламенту, відповідні параметри </w:t>
      </w:r>
      <w:proofErr w:type="spellStart"/>
      <w:r w:rsidRPr="00E41DEC">
        <w:rPr>
          <w:noProof w:val="0"/>
          <w:sz w:val="26"/>
          <w:szCs w:val="26"/>
          <w:lang w:val="uk-UA"/>
        </w:rPr>
        <w:t>екодизайну</w:t>
      </w:r>
      <w:proofErr w:type="spellEnd"/>
      <w:r w:rsidRPr="00E41DEC">
        <w:rPr>
          <w:noProof w:val="0"/>
          <w:sz w:val="26"/>
          <w:szCs w:val="26"/>
          <w:lang w:val="uk-UA"/>
        </w:rPr>
        <w:t xml:space="preserve"> з числа наведених у частині 1 додатка 1 до Технічного регламенту щодо </w:t>
      </w:r>
      <w:r>
        <w:rPr>
          <w:noProof w:val="0"/>
          <w:sz w:val="26"/>
          <w:szCs w:val="26"/>
          <w:lang w:val="uk-UA"/>
        </w:rPr>
        <w:t>встановлення</w:t>
      </w:r>
      <w:r w:rsidRPr="00E41DEC">
        <w:rPr>
          <w:noProof w:val="0"/>
          <w:sz w:val="26"/>
          <w:szCs w:val="26"/>
          <w:lang w:val="uk-UA"/>
        </w:rPr>
        <w:t xml:space="preserve"> </w:t>
      </w:r>
      <w:r w:rsidR="00895DC0">
        <w:rPr>
          <w:noProof w:val="0"/>
          <w:sz w:val="26"/>
          <w:szCs w:val="26"/>
          <w:lang w:val="uk-UA"/>
        </w:rPr>
        <w:t xml:space="preserve">системи для визначення </w:t>
      </w:r>
      <w:r w:rsidRPr="00E41DEC">
        <w:rPr>
          <w:noProof w:val="0"/>
          <w:sz w:val="26"/>
          <w:szCs w:val="26"/>
          <w:lang w:val="uk-UA"/>
        </w:rPr>
        <w:t xml:space="preserve">вимог </w:t>
      </w:r>
      <w:r>
        <w:rPr>
          <w:noProof w:val="0"/>
          <w:sz w:val="26"/>
          <w:szCs w:val="26"/>
          <w:lang w:val="uk-UA"/>
        </w:rPr>
        <w:t>з</w:t>
      </w:r>
      <w:r w:rsidRPr="00E41DEC">
        <w:rPr>
          <w:noProof w:val="0"/>
          <w:sz w:val="26"/>
          <w:szCs w:val="26"/>
          <w:lang w:val="uk-UA"/>
        </w:rPr>
        <w:t xml:space="preserve"> </w:t>
      </w:r>
      <w:proofErr w:type="spellStart"/>
      <w:r w:rsidRPr="00E41DEC">
        <w:rPr>
          <w:noProof w:val="0"/>
          <w:sz w:val="26"/>
          <w:szCs w:val="26"/>
          <w:lang w:val="uk-UA"/>
        </w:rPr>
        <w:t>екодизайну</w:t>
      </w:r>
      <w:proofErr w:type="spellEnd"/>
      <w:r w:rsidRPr="00E41DEC">
        <w:rPr>
          <w:noProof w:val="0"/>
          <w:sz w:val="26"/>
          <w:szCs w:val="26"/>
          <w:lang w:val="uk-UA"/>
        </w:rPr>
        <w:t xml:space="preserve"> </w:t>
      </w:r>
      <w:proofErr w:type="spellStart"/>
      <w:r>
        <w:rPr>
          <w:noProof w:val="0"/>
          <w:sz w:val="26"/>
          <w:szCs w:val="26"/>
          <w:lang w:val="uk-UA"/>
        </w:rPr>
        <w:t>енергоспоживчих</w:t>
      </w:r>
      <w:proofErr w:type="spellEnd"/>
      <w:r>
        <w:rPr>
          <w:noProof w:val="0"/>
          <w:sz w:val="26"/>
          <w:szCs w:val="26"/>
          <w:lang w:val="uk-UA"/>
        </w:rPr>
        <w:t xml:space="preserve"> продуктів</w:t>
      </w:r>
      <w:r w:rsidRPr="00E41DEC">
        <w:rPr>
          <w:noProof w:val="0"/>
          <w:sz w:val="26"/>
          <w:szCs w:val="26"/>
          <w:lang w:val="uk-UA"/>
        </w:rPr>
        <w:t xml:space="preserve"> та установити рівні </w:t>
      </w:r>
      <w:r w:rsidR="00895DC0">
        <w:rPr>
          <w:noProof w:val="0"/>
          <w:sz w:val="26"/>
          <w:szCs w:val="26"/>
          <w:lang w:val="uk-UA"/>
        </w:rPr>
        <w:t>спеціальних</w:t>
      </w:r>
      <w:r w:rsidRPr="00E41DEC">
        <w:rPr>
          <w:noProof w:val="0"/>
          <w:sz w:val="26"/>
          <w:szCs w:val="26"/>
          <w:lang w:val="uk-UA"/>
        </w:rPr>
        <w:t xml:space="preserve"> вимог до </w:t>
      </w:r>
      <w:proofErr w:type="spellStart"/>
      <w:r w:rsidRPr="00E41DEC">
        <w:rPr>
          <w:noProof w:val="0"/>
          <w:sz w:val="26"/>
          <w:szCs w:val="26"/>
          <w:lang w:val="uk-UA"/>
        </w:rPr>
        <w:t>екодизайну</w:t>
      </w:r>
      <w:proofErr w:type="spellEnd"/>
      <w:r w:rsidRPr="00E41DEC">
        <w:rPr>
          <w:noProof w:val="0"/>
          <w:sz w:val="26"/>
          <w:szCs w:val="26"/>
          <w:lang w:val="uk-UA"/>
        </w:rPr>
        <w:t xml:space="preserve"> згідно з процедурою, визначеною цим додатком.</w:t>
      </w:r>
    </w:p>
    <w:p w:rsidR="00E63D1A" w:rsidRPr="00E41DEC" w:rsidRDefault="00E63D1A" w:rsidP="00E63D1A">
      <w:pPr>
        <w:autoSpaceDE w:val="0"/>
        <w:autoSpaceDN w:val="0"/>
        <w:adjustRightInd w:val="0"/>
        <w:spacing w:line="360" w:lineRule="auto"/>
        <w:ind w:firstLine="709"/>
        <w:jc w:val="both"/>
        <w:rPr>
          <w:noProof w:val="0"/>
          <w:spacing w:val="-2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 xml:space="preserve">1. У ході </w:t>
      </w:r>
      <w:r w:rsidRPr="00E41DEC">
        <w:rPr>
          <w:noProof w:val="0"/>
          <w:spacing w:val="-2"/>
          <w:sz w:val="26"/>
          <w:szCs w:val="26"/>
          <w:lang w:val="uk-UA"/>
        </w:rPr>
        <w:t>технічного, екологічного і економічного аналізу необхідно вибрати певну кількість моделей відповідного продукту з числа наявних на ринку та визначити технічні можливості поліпшення екологічних характеристик продукту з одночасним урахуванням економічної життєздатності цих можливостей і уникненням будь-якого суттєвого погіршення експлуатаційних характеристик або</w:t>
      </w:r>
      <w:r>
        <w:rPr>
          <w:noProof w:val="0"/>
          <w:spacing w:val="-2"/>
          <w:sz w:val="26"/>
          <w:szCs w:val="26"/>
          <w:lang w:val="uk-UA"/>
        </w:rPr>
        <w:t xml:space="preserve"> користі </w:t>
      </w:r>
      <w:r w:rsidRPr="00E41DEC">
        <w:rPr>
          <w:noProof w:val="0"/>
          <w:spacing w:val="-2"/>
          <w:sz w:val="26"/>
          <w:szCs w:val="26"/>
          <w:lang w:val="uk-UA"/>
        </w:rPr>
        <w:t xml:space="preserve">для </w:t>
      </w:r>
      <w:r w:rsidR="00895DC0">
        <w:rPr>
          <w:noProof w:val="0"/>
          <w:spacing w:val="-2"/>
          <w:sz w:val="26"/>
          <w:szCs w:val="26"/>
          <w:lang w:val="uk-UA"/>
        </w:rPr>
        <w:t>кінцевих користувачів</w:t>
      </w:r>
      <w:r w:rsidRPr="00E41DEC">
        <w:rPr>
          <w:noProof w:val="0"/>
          <w:spacing w:val="-2"/>
          <w:sz w:val="26"/>
          <w:szCs w:val="26"/>
          <w:lang w:val="uk-UA"/>
        </w:rPr>
        <w:t>.</w:t>
      </w:r>
    </w:p>
    <w:p w:rsidR="00E63D1A" w:rsidRPr="00E41DEC" w:rsidRDefault="00E63D1A" w:rsidP="00E63D1A">
      <w:pPr>
        <w:autoSpaceDE w:val="0"/>
        <w:autoSpaceDN w:val="0"/>
        <w:adjustRightInd w:val="0"/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>У ході технічного, екологічного і економічного аналізу екологічних аспектів, що розглядаються, необхідно також визначити продукти та технології з найкращими характеристиками, які наявні на ринку.</w:t>
      </w:r>
    </w:p>
    <w:p w:rsidR="00E63D1A" w:rsidRPr="00E41DEC" w:rsidRDefault="00E63D1A" w:rsidP="00E63D1A">
      <w:pPr>
        <w:autoSpaceDE w:val="0"/>
        <w:autoSpaceDN w:val="0"/>
        <w:adjustRightInd w:val="0"/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 xml:space="preserve">Під час аналізу та при визначенні </w:t>
      </w:r>
      <w:r w:rsidR="00895DC0">
        <w:rPr>
          <w:noProof w:val="0"/>
          <w:sz w:val="26"/>
          <w:szCs w:val="26"/>
          <w:lang w:val="uk-UA"/>
        </w:rPr>
        <w:t>спеціальних</w:t>
      </w:r>
      <w:r w:rsidRPr="00E41DEC">
        <w:rPr>
          <w:noProof w:val="0"/>
          <w:sz w:val="26"/>
          <w:szCs w:val="26"/>
          <w:lang w:val="uk-UA"/>
        </w:rPr>
        <w:t xml:space="preserve"> вимог до </w:t>
      </w:r>
      <w:proofErr w:type="spellStart"/>
      <w:r w:rsidRPr="00E41DEC">
        <w:rPr>
          <w:noProof w:val="0"/>
          <w:sz w:val="26"/>
          <w:szCs w:val="26"/>
          <w:lang w:val="uk-UA"/>
        </w:rPr>
        <w:t>екодизайну</w:t>
      </w:r>
      <w:proofErr w:type="spellEnd"/>
      <w:r w:rsidRPr="00E41DEC">
        <w:rPr>
          <w:noProof w:val="0"/>
          <w:sz w:val="26"/>
          <w:szCs w:val="26"/>
          <w:lang w:val="uk-UA"/>
        </w:rPr>
        <w:t xml:space="preserve"> слід брати до уваги експлуатаційні характеристики продуктів, наявних на міжнародних ринках, та еталонні показники, встановлені законодавством інших країн.</w:t>
      </w:r>
    </w:p>
    <w:p w:rsidR="00E63D1A" w:rsidRPr="00E41DEC" w:rsidRDefault="00E63D1A" w:rsidP="00E63D1A">
      <w:pPr>
        <w:autoSpaceDE w:val="0"/>
        <w:autoSpaceDN w:val="0"/>
        <w:adjustRightInd w:val="0"/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>На основі цього аналізу та з урахуванням економічної і технічної здійсненності, а також потенціалу поліпшення вживаються конкретні заходи з метою мінімізації впливу продукту на навколишнє середовище.</w:t>
      </w:r>
    </w:p>
    <w:p w:rsidR="00E63D1A" w:rsidRPr="00E41DEC" w:rsidRDefault="00E63D1A" w:rsidP="00E63D1A">
      <w:pPr>
        <w:autoSpaceDE w:val="0"/>
        <w:autoSpaceDN w:val="0"/>
        <w:adjustRightInd w:val="0"/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F74427">
        <w:rPr>
          <w:noProof w:val="0"/>
          <w:sz w:val="26"/>
          <w:szCs w:val="26"/>
          <w:lang w:val="uk-UA"/>
        </w:rPr>
        <w:lastRenderedPageBreak/>
        <w:t>У разі коли розглядається питання енергоспоживання при використанні продукту, рівень енергоефективності або енергоспоживання повинен бути встановлений таким чином, щоб вартість життєвого циклу моделей продукту була мінімальною для к</w:t>
      </w:r>
      <w:r w:rsidRPr="00F634A1">
        <w:rPr>
          <w:noProof w:val="0"/>
          <w:sz w:val="26"/>
          <w:szCs w:val="26"/>
          <w:lang w:val="uk-UA"/>
        </w:rPr>
        <w:t>інцевих користувачів з урахуванням наслідків для інших екологічних аспектів. Метод аналізу вартості життєвого циклу використовує реальну ставку дисконтування і реальний строк служби продукту. Цей метод базується на сумі змін у ціні (які є наслідком змін у виробничих витратах) та змін в експлуатаційних витратах, які виникають у результаті відмінностей у рівнях можливостей технічного вдосконалення, дисконтованих протягом строку служби моделей продукту, що розглядаються. Експлуатаційні витрати охоплюють у першу чергу енергоспоживання та додаткові витрати на інші ресурси (наприклад, воду чи мийні засоби).</w:t>
      </w:r>
    </w:p>
    <w:p w:rsidR="00E63D1A" w:rsidRPr="00E41DEC" w:rsidRDefault="00E63D1A" w:rsidP="00E63D1A">
      <w:pPr>
        <w:autoSpaceDE w:val="0"/>
        <w:autoSpaceDN w:val="0"/>
        <w:adjustRightInd w:val="0"/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>Для того, що</w:t>
      </w:r>
      <w:r w:rsidR="00895DC0">
        <w:rPr>
          <w:noProof w:val="0"/>
          <w:sz w:val="26"/>
          <w:szCs w:val="26"/>
          <w:lang w:val="uk-UA"/>
        </w:rPr>
        <w:t>б перевірити</w:t>
      </w:r>
      <w:r w:rsidRPr="00E41DEC">
        <w:rPr>
          <w:noProof w:val="0"/>
          <w:sz w:val="26"/>
          <w:szCs w:val="26"/>
          <w:lang w:val="uk-UA"/>
        </w:rPr>
        <w:t xml:space="preserve"> чи відбуваються значні зміни і чи загальні висновки є надійними, проводиться аналіз чутливості, який охоплює відповідні фактори (такі як ціни на енергетичні чи інші ресурси, вартість сировини або витрати на виробництво, ставки дисконтування), а у відповідних випадках – зовнішні екологічні витрати, включаючи відвернені викиди парникових газів. </w:t>
      </w:r>
      <w:r w:rsidR="00895DC0">
        <w:rPr>
          <w:noProof w:val="0"/>
          <w:sz w:val="26"/>
          <w:szCs w:val="26"/>
          <w:lang w:val="uk-UA"/>
        </w:rPr>
        <w:t>Спеціальну</w:t>
      </w:r>
      <w:r w:rsidRPr="00E41DEC">
        <w:rPr>
          <w:noProof w:val="0"/>
          <w:sz w:val="26"/>
          <w:szCs w:val="26"/>
          <w:lang w:val="uk-UA"/>
        </w:rPr>
        <w:t xml:space="preserve"> вимогу до </w:t>
      </w:r>
      <w:proofErr w:type="spellStart"/>
      <w:r w:rsidRPr="00E41DEC">
        <w:rPr>
          <w:noProof w:val="0"/>
          <w:sz w:val="26"/>
          <w:szCs w:val="26"/>
          <w:lang w:val="uk-UA"/>
        </w:rPr>
        <w:t>екодизайну</w:t>
      </w:r>
      <w:proofErr w:type="spellEnd"/>
      <w:r w:rsidRPr="00E41DEC">
        <w:rPr>
          <w:noProof w:val="0"/>
          <w:sz w:val="26"/>
          <w:szCs w:val="26"/>
          <w:lang w:val="uk-UA"/>
        </w:rPr>
        <w:t xml:space="preserve"> необхідно пристосувати до висновків цього аналізу.</w:t>
      </w:r>
    </w:p>
    <w:p w:rsidR="00E63D1A" w:rsidRPr="00E41DEC" w:rsidRDefault="00E63D1A" w:rsidP="00E63D1A">
      <w:pPr>
        <w:autoSpaceDE w:val="0"/>
        <w:autoSpaceDN w:val="0"/>
        <w:adjustRightInd w:val="0"/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>Аналогічна методологія може бути застосована до інших ресурсів (таких як вода).</w:t>
      </w:r>
    </w:p>
    <w:p w:rsidR="00E63D1A" w:rsidRPr="00E41DEC" w:rsidRDefault="00E63D1A" w:rsidP="00E63D1A">
      <w:pPr>
        <w:autoSpaceDE w:val="0"/>
        <w:autoSpaceDN w:val="0"/>
        <w:adjustRightInd w:val="0"/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>2. Дата набрання чинності конкретно</w:t>
      </w:r>
      <w:r>
        <w:rPr>
          <w:noProof w:val="0"/>
          <w:sz w:val="26"/>
          <w:szCs w:val="26"/>
          <w:lang w:val="uk-UA"/>
        </w:rPr>
        <w:t>ї</w:t>
      </w:r>
      <w:r w:rsidRPr="00E41DEC">
        <w:rPr>
          <w:noProof w:val="0"/>
          <w:sz w:val="26"/>
          <w:szCs w:val="26"/>
          <w:lang w:val="uk-UA"/>
        </w:rPr>
        <w:t xml:space="preserve"> </w:t>
      </w:r>
      <w:r>
        <w:rPr>
          <w:noProof w:val="0"/>
          <w:sz w:val="26"/>
          <w:szCs w:val="26"/>
          <w:lang w:val="uk-UA"/>
        </w:rPr>
        <w:t>вимоги</w:t>
      </w:r>
      <w:r w:rsidRPr="00E41DEC">
        <w:rPr>
          <w:noProof w:val="0"/>
          <w:sz w:val="26"/>
          <w:szCs w:val="26"/>
          <w:lang w:val="uk-UA"/>
        </w:rPr>
        <w:t xml:space="preserve"> </w:t>
      </w:r>
      <w:r>
        <w:rPr>
          <w:noProof w:val="0"/>
          <w:sz w:val="26"/>
          <w:szCs w:val="26"/>
          <w:lang w:val="uk-UA"/>
        </w:rPr>
        <w:t>з</w:t>
      </w:r>
      <w:r w:rsidRPr="00E41DEC">
        <w:rPr>
          <w:noProof w:val="0"/>
          <w:sz w:val="26"/>
          <w:szCs w:val="26"/>
          <w:lang w:val="uk-UA"/>
        </w:rPr>
        <w:t xml:space="preserve"> </w:t>
      </w:r>
      <w:proofErr w:type="spellStart"/>
      <w:r w:rsidRPr="00E41DEC">
        <w:rPr>
          <w:noProof w:val="0"/>
          <w:sz w:val="26"/>
          <w:szCs w:val="26"/>
          <w:lang w:val="uk-UA"/>
        </w:rPr>
        <w:t>екодизайну</w:t>
      </w:r>
      <w:proofErr w:type="spellEnd"/>
      <w:r w:rsidRPr="00E41DEC">
        <w:rPr>
          <w:noProof w:val="0"/>
          <w:sz w:val="26"/>
          <w:szCs w:val="26"/>
          <w:lang w:val="uk-UA"/>
        </w:rPr>
        <w:t xml:space="preserve"> </w:t>
      </w:r>
      <w:r>
        <w:rPr>
          <w:noProof w:val="0"/>
          <w:sz w:val="26"/>
          <w:szCs w:val="26"/>
          <w:lang w:val="uk-UA"/>
        </w:rPr>
        <w:t>повинна</w:t>
      </w:r>
      <w:r w:rsidR="00895DC0">
        <w:rPr>
          <w:noProof w:val="0"/>
          <w:sz w:val="26"/>
          <w:szCs w:val="26"/>
          <w:lang w:val="uk-UA"/>
        </w:rPr>
        <w:t xml:space="preserve"> враховувати цикл зміни дизайну</w:t>
      </w:r>
      <w:r w:rsidRPr="00E41DEC">
        <w:rPr>
          <w:noProof w:val="0"/>
          <w:sz w:val="26"/>
          <w:szCs w:val="26"/>
          <w:lang w:val="uk-UA"/>
        </w:rPr>
        <w:t xml:space="preserve"> продукту.</w:t>
      </w:r>
    </w:p>
    <w:p w:rsidR="00E63D1A" w:rsidRPr="00E41DEC" w:rsidRDefault="00E63D1A" w:rsidP="00E63D1A">
      <w:pPr>
        <w:pStyle w:val="a3"/>
        <w:spacing w:line="360" w:lineRule="auto"/>
        <w:jc w:val="center"/>
        <w:rPr>
          <w:rFonts w:ascii="Times New Roman" w:hAnsi="Times New Roman" w:cs="Times New Roman"/>
          <w:noProof w:val="0"/>
          <w:sz w:val="26"/>
          <w:szCs w:val="26"/>
          <w:lang w:val="uk-UA"/>
        </w:rPr>
      </w:pPr>
      <w:bookmarkStart w:id="0" w:name="_GoBack"/>
      <w:bookmarkEnd w:id="0"/>
    </w:p>
    <w:p w:rsidR="00E63D1A" w:rsidRPr="00E41DEC" w:rsidRDefault="00E63D1A" w:rsidP="00E63D1A">
      <w:pPr>
        <w:pStyle w:val="a3"/>
        <w:jc w:val="center"/>
        <w:rPr>
          <w:rFonts w:ascii="Times New Roman" w:hAnsi="Times New Roman" w:cs="Times New Roman"/>
          <w:noProof w:val="0"/>
          <w:sz w:val="26"/>
          <w:szCs w:val="26"/>
          <w:lang w:val="uk-UA"/>
        </w:rPr>
      </w:pPr>
      <w:r w:rsidRPr="00E41DEC">
        <w:rPr>
          <w:rFonts w:ascii="Times New Roman" w:hAnsi="Times New Roman" w:cs="Times New Roman"/>
          <w:noProof w:val="0"/>
          <w:sz w:val="26"/>
          <w:szCs w:val="26"/>
          <w:lang w:val="uk-UA"/>
        </w:rPr>
        <w:t>____________________________</w:t>
      </w:r>
    </w:p>
    <w:p w:rsidR="00E63D1A" w:rsidRPr="00E41DEC" w:rsidRDefault="00E63D1A" w:rsidP="00E63D1A">
      <w:pPr>
        <w:pStyle w:val="a5"/>
        <w:tabs>
          <w:tab w:val="clear" w:pos="6804"/>
          <w:tab w:val="left" w:pos="6521"/>
        </w:tabs>
        <w:spacing w:before="0"/>
        <w:rPr>
          <w:rFonts w:ascii="Times New Roman" w:hAnsi="Times New Roman"/>
          <w:position w:val="0"/>
          <w:szCs w:val="26"/>
        </w:rPr>
      </w:pPr>
    </w:p>
    <w:p w:rsidR="00BF2232" w:rsidRDefault="00BF2232"/>
    <w:sectPr w:rsidR="00BF2232" w:rsidSect="006C71EB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1BC9" w:rsidRDefault="00C81BC9" w:rsidP="006C71EB">
      <w:r>
        <w:separator/>
      </w:r>
    </w:p>
  </w:endnote>
  <w:endnote w:type="continuationSeparator" w:id="0">
    <w:p w:rsidR="00C81BC9" w:rsidRDefault="00C81BC9" w:rsidP="006C7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1BC9" w:rsidRDefault="00C81BC9" w:rsidP="006C71EB">
      <w:r>
        <w:separator/>
      </w:r>
    </w:p>
  </w:footnote>
  <w:footnote w:type="continuationSeparator" w:id="0">
    <w:p w:rsidR="00C81BC9" w:rsidRDefault="00C81BC9" w:rsidP="006C71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12718847"/>
      <w:docPartObj>
        <w:docPartGallery w:val="Page Numbers (Top of Page)"/>
        <w:docPartUnique/>
      </w:docPartObj>
    </w:sdtPr>
    <w:sdtEndPr/>
    <w:sdtContent>
      <w:p w:rsidR="006C71EB" w:rsidRDefault="006C71EB" w:rsidP="006C71EB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5DC0" w:rsidRPr="00895DC0">
          <w:rPr>
            <w:lang w:val="ru-RU"/>
          </w:rPr>
          <w:t>2</w:t>
        </w:r>
        <w:r>
          <w:fldChar w:fldCharType="end"/>
        </w:r>
        <w:r>
          <w:t xml:space="preserve">                                           </w:t>
        </w:r>
        <w:r>
          <w:rPr>
            <w:lang w:val="uk-UA"/>
          </w:rPr>
          <w:t>Продовження додатку 2</w:t>
        </w:r>
      </w:p>
    </w:sdtContent>
  </w:sdt>
  <w:p w:rsidR="006C71EB" w:rsidRDefault="006C71E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F7B"/>
    <w:rsid w:val="006C71EB"/>
    <w:rsid w:val="00895DC0"/>
    <w:rsid w:val="00BF2232"/>
    <w:rsid w:val="00C81BC9"/>
    <w:rsid w:val="00E231E1"/>
    <w:rsid w:val="00E42F7B"/>
    <w:rsid w:val="00E63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DC93A"/>
  <w15:chartTrackingRefBased/>
  <w15:docId w15:val="{8DB04B30-F895-44C9-8B87-0CFB1A021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3D1A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en-GB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E63D1A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E63D1A"/>
    <w:rPr>
      <w:rFonts w:ascii="Courier New" w:eastAsia="Times New Roman" w:hAnsi="Courier New" w:cs="Courier New"/>
      <w:noProof/>
      <w:sz w:val="20"/>
      <w:szCs w:val="20"/>
      <w:lang w:val="en-GB" w:eastAsia="ru-RU"/>
    </w:rPr>
  </w:style>
  <w:style w:type="paragraph" w:customStyle="1" w:styleId="a5">
    <w:name w:val="Підпис"/>
    <w:basedOn w:val="a"/>
    <w:rsid w:val="00E63D1A"/>
    <w:pPr>
      <w:keepLines/>
      <w:tabs>
        <w:tab w:val="center" w:pos="2268"/>
        <w:tab w:val="left" w:pos="6804"/>
      </w:tabs>
      <w:spacing w:before="360"/>
    </w:pPr>
    <w:rPr>
      <w:rFonts w:ascii="Antiqua" w:hAnsi="Antiqua"/>
      <w:b/>
      <w:noProof w:val="0"/>
      <w:position w:val="-48"/>
      <w:sz w:val="26"/>
      <w:szCs w:val="20"/>
      <w:lang w:val="uk-UA"/>
    </w:rPr>
  </w:style>
  <w:style w:type="paragraph" w:styleId="a6">
    <w:name w:val="header"/>
    <w:basedOn w:val="a"/>
    <w:link w:val="a7"/>
    <w:uiPriority w:val="99"/>
    <w:unhideWhenUsed/>
    <w:rsid w:val="006C71E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C71EB"/>
    <w:rPr>
      <w:rFonts w:ascii="Times New Roman" w:eastAsia="Times New Roman" w:hAnsi="Times New Roman" w:cs="Times New Roman"/>
      <w:noProof/>
      <w:sz w:val="24"/>
      <w:szCs w:val="24"/>
      <w:lang w:val="en-GB" w:eastAsia="ru-RU"/>
    </w:rPr>
  </w:style>
  <w:style w:type="paragraph" w:styleId="a8">
    <w:name w:val="footer"/>
    <w:basedOn w:val="a"/>
    <w:link w:val="a9"/>
    <w:uiPriority w:val="99"/>
    <w:unhideWhenUsed/>
    <w:rsid w:val="006C71E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C71EB"/>
    <w:rPr>
      <w:rFonts w:ascii="Times New Roman" w:eastAsia="Times New Roman" w:hAnsi="Times New Roman" w:cs="Times New Roman"/>
      <w:noProof/>
      <w:sz w:val="24"/>
      <w:szCs w:val="24"/>
      <w:lang w:val="en-GB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522</Words>
  <Characters>2982</Characters>
  <Application>Microsoft Office Word</Application>
  <DocSecurity>0</DocSecurity>
  <Lines>24</Lines>
  <Paragraphs>6</Paragraphs>
  <ScaleCrop>false</ScaleCrop>
  <Company>SPecialiST RePack</Company>
  <LinksUpToDate>false</LinksUpToDate>
  <CharactersWithSpaces>3498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2017-05-31T08:43:00Z</dcterms:created>
  <dcterms:modified xsi:type="dcterms:W3CDTF">2017-07-14T12:33:00Z</dcterms:modified>
</cp:coreProperties>
</file>